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</w:pPr>
      <w:r>
        <w:rPr>
          <w:b/>
          <w:sz w:val="28"/>
        </w:rPr>
        <w:t xml:space="preserve">Техническое задание на разработку продукта </w:t>
      </w:r>
      <w:r/>
    </w:p>
    <w:p>
      <w:pPr>
        <w:pStyle w:val="685"/>
        <w:jc w:val="center"/>
        <w:rPr>
          <w:b/>
        </w:rPr>
      </w:pPr>
      <w:r>
        <w:rPr>
          <w:b/>
        </w:rPr>
      </w:r>
      <w:r/>
    </w:p>
    <w:tbl>
      <w:tblPr>
        <w:tblW w:w="11199" w:type="dxa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7939"/>
      </w:tblGrid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  <w:bCs/>
              </w:rPr>
            </w:pPr>
            <w:r>
              <w:rPr>
                <w:b/>
                <w:bCs/>
              </w:rPr>
              <w:t xml:space="preserve">Дата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rPr>
                <w:i/>
              </w:rPr>
            </w:pPr>
            <w:r>
              <w:rPr>
                <w:i/>
              </w:rPr>
              <w:t xml:space="preserve">08.06.2022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продукта</w:t>
            </w:r>
            <w:r/>
          </w:p>
        </w:tc>
        <w:tc>
          <w:tcPr>
            <w:shd w:val="clear" w:color="auto" w:fill="auto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rPr>
                <w:rFonts w:eastAsiaTheme="minorEastAsia"/>
                <w:i/>
                <w:lang w:eastAsia="ko-KR"/>
              </w:rPr>
            </w:pPr>
            <w:r>
              <w:rPr>
                <w:rFonts w:eastAsiaTheme="minorEastAsia"/>
                <w:i/>
                <w:lang w:eastAsia="ko-KR"/>
              </w:rPr>
              <w:t xml:space="preserve">Указать предполагаемое наименование продукта</w:t>
            </w:r>
            <w:r/>
          </w:p>
          <w:p>
            <w:pPr>
              <w:pStyle w:val="685"/>
              <w:rPr>
                <w:rFonts w:eastAsiaTheme="minorEastAsia"/>
                <w:b/>
                <w:i/>
                <w:shd w:val="clear" w:color="auto" w:fill="ffff00"/>
                <w:lang w:eastAsia="ko-KR"/>
              </w:rPr>
            </w:pPr>
            <w:r>
              <w:rPr>
                <w:rFonts w:eastAsiaTheme="minorEastAsia"/>
                <w:b/>
                <w:i/>
                <w:lang w:eastAsia="ko-KR"/>
              </w:rPr>
              <w:t xml:space="preserve">«ПРОФИС»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  <w:bCs/>
              </w:rPr>
            </w:pPr>
            <w:r>
              <w:rPr>
                <w:b/>
                <w:bCs/>
              </w:rPr>
              <w:t xml:space="preserve">Аналоги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98"/>
              <w:rPr>
                <w:i/>
              </w:rPr>
            </w:pPr>
            <w:r>
              <w:rPr>
                <w:i/>
              </w:rPr>
              <w:t xml:space="preserve">Указать аналоги, на которые можно ориентироваться при разработке продукта</w:t>
            </w:r>
            <w:r>
              <w:rPr>
                <w:i/>
              </w:rPr>
              <w:t xml:space="preserve">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«ДЕТАЛАН-Ф»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  <w:bCs/>
              </w:rPr>
            </w:pPr>
            <w:r>
              <w:rPr>
                <w:b/>
                <w:bCs/>
              </w:rPr>
              <w:t xml:space="preserve">Состав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jc w:val="both"/>
              <w:rPr>
                <w:i/>
              </w:rPr>
            </w:pPr>
            <w:r>
              <w:rPr>
                <w:i/>
              </w:rPr>
              <w:t xml:space="preserve">Перечислить компоненты, которые должны быть в составе (если есть определенные требования), либо состав будет подобен рассматриваемому аналогу (если имеется)</w:t>
            </w:r>
            <w:r>
              <w:rPr>
                <w:i/>
              </w:rPr>
              <w:t xml:space="preserve">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Щелочное средство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  <w:bCs/>
              </w:rPr>
            </w:pPr>
            <w:r>
              <w:rPr>
                <w:b/>
                <w:bCs/>
              </w:rPr>
              <w:t xml:space="preserve">Свойства продукта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eastAsiaTheme="minorEastAsia"/>
                <w:i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Указать характеристики и свойства, которыми должен обладать продукт:</w:t>
            </w:r>
            <w:r/>
          </w:p>
          <w:p>
            <w:pPr>
              <w:jc w:val="both"/>
              <w:rPr>
                <w:rFonts w:eastAsiaTheme="minorEastAsia"/>
                <w:i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Внешний вид (необходим бесцветный состав или окрашенный)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;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е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стественный, без окрашивания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, однородный без разделения фракций и без осадка.</w:t>
            </w:r>
            <w:r/>
          </w:p>
          <w:p>
            <w:pPr>
              <w:jc w:val="both"/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Запах (с отдушкой или без)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;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б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ез отдушки, не едкий, для использования в закрытых помещениях.</w:t>
            </w:r>
            <w:r/>
          </w:p>
          <w:p>
            <w:pPr>
              <w:jc w:val="both"/>
              <w:rPr>
                <w:rFonts w:eastAsiaTheme="minorEastAsia"/>
                <w:i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Вязкость (должен быть жидким или вязким, если вязким, то указать диапазон значений)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;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ж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идкий</w:t>
            </w:r>
            <w:r/>
          </w:p>
          <w:p>
            <w:pPr>
              <w:jc w:val="both"/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рН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(указать диапазон значений)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;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8-10</w:t>
            </w:r>
            <w:r/>
          </w:p>
          <w:p>
            <w:pPr>
              <w:jc w:val="both"/>
              <w:rPr>
                <w:rFonts w:eastAsiaTheme="minorEastAsia"/>
                <w:i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Плотность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(указать диапазон значений, если есть определенные требования)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;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н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е регламентируется</w:t>
            </w:r>
            <w:r/>
          </w:p>
          <w:p>
            <w:pPr>
              <w:jc w:val="both"/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Пенообразование (отсутствие, среднее, сильное)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;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отсутствие пенообразования при любой температуре</w:t>
            </w:r>
            <w:r/>
          </w:p>
          <w:p>
            <w:pPr>
              <w:jc w:val="both"/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Типы загрязнений, по отношению к которым должен быть эффективен (органические, минеральные, комбинированные и т.п.)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;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НАГАР с камеры сгорания ДВС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а также органические и неорганические масложировые загрязнения (минеральные и синтетические масла, мазут, смазки, СОЖ, 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асфальтосмолопарафиновые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отложений (АСПО)) с различного оборудования и поверхностей (металл, стекло, плитка, керамика).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 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После 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мойки, деталь 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покрывается защитной плёнкой, вследствие чего длительное время, не подвергается коррозии.</w:t>
            </w:r>
            <w:r/>
          </w:p>
          <w:p>
            <w:pPr>
              <w:jc w:val="both"/>
              <w:rPr>
                <w:rFonts w:eastAsiaTheme="minorEastAsia"/>
                <w:i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Если есть какие-то важные характеристики и свойства, то их также необходимо указать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.</w:t>
            </w:r>
            <w:r>
              <w:rPr>
                <w:rFonts w:eastAsiaTheme="minorEastAsia"/>
                <w:i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н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е допускается потемнение алюминиевых сплавов и других цветных металлов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.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Продолжительное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(не однократное) применение </w:t>
            </w:r>
            <w:r>
              <w:rPr>
                <w:rFonts w:eastAsiaTheme="minorEastAsia"/>
                <w:b/>
                <w:i/>
                <w:sz w:val="24"/>
                <w:szCs w:val="24"/>
                <w:lang w:eastAsia="ko-KR"/>
              </w:rPr>
              <w:t xml:space="preserve">раствора.</w:t>
            </w:r>
            <w:r/>
          </w:p>
          <w:p>
            <w:pPr>
              <w:pStyle w:val="685"/>
              <w:jc w:val="both"/>
              <w:rPr>
                <w:rFonts w:eastAsia="TimesNewRomanPS-ItalicMT"/>
                <w:i/>
              </w:rPr>
            </w:pPr>
            <w:r>
              <w:rPr>
                <w:rFonts w:eastAsia="TimesNewRomanPS-ItalicMT"/>
                <w:i/>
              </w:rPr>
              <w:t xml:space="preserve">Если нет представления о перечисленных характеристиках, то ориентируемся</w:t>
            </w:r>
            <w:r>
              <w:rPr>
                <w:rFonts w:eastAsia="TimesNewRomanPS-ItalicMT"/>
                <w:i/>
              </w:rPr>
              <w:t xml:space="preserve"> на аналог (если имеется)</w:t>
            </w:r>
            <w:r>
              <w:rPr>
                <w:rFonts w:eastAsia="TimesNewRomanPS-ItalicMT"/>
                <w:i/>
              </w:rPr>
              <w:t xml:space="preserve">.</w:t>
            </w:r>
            <w:r/>
          </w:p>
          <w:p>
            <w:pPr>
              <w:pStyle w:val="685"/>
              <w:jc w:val="both"/>
              <w:rPr>
                <w:rFonts w:eastAsia="TimesNewRomanPS-ItalicMT"/>
                <w:b/>
                <w:i/>
              </w:rPr>
            </w:pPr>
            <w:r>
              <w:rPr>
                <w:rFonts w:eastAsia="TimesNewRomanPS-ItalicMT"/>
                <w:b/>
                <w:i/>
              </w:rPr>
              <w:t xml:space="preserve">Если аналога не будет, то все характеристики должны быть указаны максимально подробно.</w:t>
            </w:r>
            <w:r/>
          </w:p>
        </w:tc>
      </w:tr>
      <w:tr>
        <w:trPr>
          <w:trHeight w:val="316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  <w:bCs/>
              </w:rPr>
            </w:pPr>
            <w:r>
              <w:rPr>
                <w:b/>
                <w:bCs/>
              </w:rPr>
              <w:t xml:space="preserve">Назначение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ind w:left="0"/>
              <w:shd w:val="clear" w:color="auto" w:fill="ffffff"/>
              <w:widowControl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Максимально подробно указать информацию по назначению продукта</w:t>
            </w:r>
            <w:r>
              <w:rPr>
                <w:i/>
                <w:sz w:val="24"/>
                <w:szCs w:val="24"/>
              </w:rPr>
              <w:t xml:space="preserve"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Механическая и автоматическая мойка узлов и агрегатов машин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стро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е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ния;</w:t>
            </w:r>
            <w:r/>
          </w:p>
          <w:p>
            <w:pPr>
              <w:numPr>
                <w:ilvl w:val="0"/>
                <w:numId w:val="18"/>
              </w:numPr>
              <w:ind w:left="0"/>
              <w:shd w:val="clear" w:color="auto" w:fill="ffffff"/>
              <w:widowControl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Мойка и очистка нефтепромыслового оборудования и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нефтетруб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проводов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от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асфальтосмолопарафиновых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отложений (АСПО);</w:t>
            </w:r>
            <w:r/>
          </w:p>
          <w:p>
            <w:pPr>
              <w:numPr>
                <w:ilvl w:val="0"/>
                <w:numId w:val="18"/>
              </w:numPr>
              <w:ind w:left="0"/>
              <w:shd w:val="clear" w:color="auto" w:fill="ffffff"/>
              <w:widowControl/>
              <w:rPr>
                <w:i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Очистка резервуаров от нефти, мазута и прочих нефтепродуктов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265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9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Способ применения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92"/>
              <w:spacing w:before="0"/>
              <w:shd w:val="clear" w:color="auto" w:fill="ffffff"/>
              <w:rPr>
                <w:b/>
                <w:i/>
                <w:color w:val="333333"/>
              </w:rPr>
            </w:pPr>
            <w:r>
              <w:rPr>
                <w:i/>
              </w:rPr>
              <w:t xml:space="preserve">Максимально подробно указать информацию по применению продукта</w:t>
            </w:r>
            <w:r>
              <w:rPr>
                <w:i/>
              </w:rPr>
              <w:t xml:space="preserve">.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  <w:r>
              <w:rPr>
                <w:b/>
                <w:i/>
                <w:color w:val="333333"/>
              </w:rPr>
              <w:t xml:space="preserve">Приготовление рабочего раствора осуществляется путем растворения необходимого количества концентрата в воде при температуре 20-30</w:t>
            </w:r>
            <w:r>
              <w:rPr>
                <w:b/>
                <w:i/>
                <w:color w:val="333333"/>
              </w:rPr>
              <w:t xml:space="preserve">°С</w:t>
            </w:r>
            <w:r>
              <w:rPr>
                <w:b/>
                <w:i/>
                <w:color w:val="333333"/>
              </w:rPr>
              <w:t xml:space="preserve"> из расчета от 5 до 100гр. на литр в зависимости от степени и вида загрязнения.</w:t>
            </w:r>
            <w:r/>
          </w:p>
          <w:p>
            <w:pPr>
              <w:spacing w:after="100"/>
              <w:shd w:val="clear" w:color="auto" w:fill="ffffff"/>
              <w:widowControl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Эффективность и скорость воздействия на обрабатываемую повер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х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ность достигается при повышении температуры рабочего раствора до 70°С. Температура может быть повышена до 90º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С</w:t>
            </w:r>
            <w:r>
              <w:rPr>
                <w:b/>
                <w:i/>
                <w:color w:val="333333"/>
                <w:sz w:val="24"/>
                <w:szCs w:val="24"/>
              </w:rPr>
              <w:t xml:space="preserve">, но не более.</w:t>
            </w:r>
            <w:r/>
          </w:p>
          <w:p>
            <w:pPr>
              <w:spacing w:after="100"/>
              <w:shd w:val="clear" w:color="auto" w:fill="ffffff"/>
              <w:widowControl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М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ожет использоваться ручным методом, методом пассивного погр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у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жения и 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барботажа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, под воздействием ультразвука, струйным мет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о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дом (аппаратами высокого давления), комплексно.</w:t>
            </w:r>
            <w:r/>
          </w:p>
          <w:p>
            <w:pPr>
              <w:pStyle w:val="685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204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Особенности применения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numPr>
                <w:ilvl w:val="0"/>
                <w:numId w:val="17"/>
              </w:numPr>
              <w:ind w:left="0"/>
              <w:rPr>
                <w:rFonts w:eastAsia="TimesNewRomanPS-ItalicMT"/>
                <w:i/>
                <w:shd w:val="clear" w:color="auto" w:fill="ffff00"/>
              </w:rPr>
            </w:pPr>
            <w:r>
              <w:rPr>
                <w:rFonts w:eastAsia="TimesNewRomanPS-ItalicMT"/>
                <w:i/>
              </w:rPr>
              <w:t xml:space="preserve">Если существуют какие-либо особенности, то указать</w:t>
            </w:r>
            <w:r>
              <w:rPr>
                <w:rFonts w:eastAsia="TimesNewRomanPS-ItalicMT"/>
                <w:i/>
              </w:rPr>
              <w:t xml:space="preserve">.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</w:pPr>
            <w:r>
              <w:rPr>
                <w:b/>
                <w:bCs/>
              </w:rPr>
              <w:t xml:space="preserve">Расход продукта, г/м</w:t>
            </w:r>
            <w:r>
              <w:rPr>
                <w:b/>
                <w:bCs/>
                <w:vertAlign w:val="superscript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jc w:val="both"/>
              <w:rPr>
                <w:i/>
                <w:shd w:val="clear" w:color="auto" w:fill="ffff00"/>
              </w:rPr>
            </w:pPr>
            <w:r>
              <w:rPr>
                <w:i/>
              </w:rPr>
              <w:t xml:space="preserve">Если существуют определенные расходы, с которыми предполагается использование продукта, указать</w:t>
            </w:r>
            <w:r>
              <w:rPr>
                <w:i/>
              </w:rPr>
              <w:t xml:space="preserve">.</w:t>
            </w:r>
            <w:r>
              <w:rPr>
                <w:b/>
                <w:i/>
                <w:color w:val="333333"/>
              </w:rPr>
              <w:t xml:space="preserve"> </w:t>
            </w:r>
            <w:r>
              <w:rPr>
                <w:b/>
                <w:i/>
                <w:color w:val="333333"/>
              </w:rPr>
              <w:t xml:space="preserve">о</w:t>
            </w:r>
            <w:r>
              <w:rPr>
                <w:b/>
                <w:i/>
                <w:color w:val="333333"/>
              </w:rPr>
              <w:t xml:space="preserve">т 5 до 100гр. на литр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  <w:bCs/>
              </w:rPr>
            </w:pPr>
            <w:r>
              <w:rPr>
                <w:b/>
                <w:bCs/>
              </w:rPr>
              <w:t xml:space="preserve">Условия хранения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rPr>
                <w:i/>
                <w:shd w:val="clear" w:color="auto" w:fill="ffff00"/>
              </w:rPr>
            </w:pPr>
            <w:r>
              <w:rPr>
                <w:i/>
              </w:rPr>
              <w:t xml:space="preserve">Указать температуру</w:t>
            </w:r>
            <w:r>
              <w:rPr>
                <w:i/>
              </w:rPr>
              <w:t xml:space="preserve">,</w:t>
            </w:r>
            <w:r>
              <w:rPr>
                <w:i/>
              </w:rPr>
              <w:t xml:space="preserve"> при которой подразумевается транспортировка и хранение</w:t>
            </w:r>
            <w:r>
              <w:rPr>
                <w:i/>
              </w:rPr>
              <w:t xml:space="preserve">.</w:t>
            </w:r>
            <w:r>
              <w:rPr>
                <w:b/>
                <w:i/>
              </w:rPr>
              <w:t xml:space="preserve">0- +30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  <w:bCs/>
              </w:rPr>
            </w:pPr>
            <w:r>
              <w:rPr>
                <w:b/>
                <w:bCs/>
              </w:rPr>
              <w:t xml:space="preserve">Гарантийный срок хранения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rPr>
                <w:i/>
                <w:shd w:val="clear" w:color="auto" w:fill="ffff00"/>
              </w:rPr>
            </w:pPr>
            <w:r>
              <w:rPr>
                <w:i/>
              </w:rPr>
              <w:t xml:space="preserve">Указать </w:t>
            </w:r>
            <w:r>
              <w:rPr>
                <w:i/>
              </w:rPr>
              <w:t xml:space="preserve">необходимый</w:t>
            </w:r>
            <w:r>
              <w:rPr>
                <w:i/>
              </w:rPr>
              <w:t xml:space="preserve"> ГСХ</w:t>
            </w:r>
            <w:r>
              <w:rPr>
                <w:i/>
              </w:rPr>
              <w:t xml:space="preserve">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12 месяцев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</w:pPr>
            <w:r>
              <w:rPr>
                <w:b/>
                <w:bCs/>
              </w:rPr>
              <w:t xml:space="preserve">Разрешительная документация (ТУ, ПБ (</w:t>
            </w:r>
            <w:r>
              <w:rPr>
                <w:b/>
                <w:bCs/>
                <w:lang w:val="en-US"/>
              </w:rPr>
              <w:t xml:space="preserve">MSDS</w:t>
            </w:r>
            <w:r>
              <w:rPr>
                <w:b/>
                <w:bCs/>
              </w:rPr>
              <w:t xml:space="preserve">), ИП, текст этикетки) / кто разрабатывает?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rPr>
                <w:i/>
              </w:rPr>
            </w:pPr>
            <w:r>
              <w:rPr>
                <w:i/>
              </w:rPr>
              <w:t xml:space="preserve">Указать информацию о </w:t>
            </w:r>
            <w:r>
              <w:rPr>
                <w:i/>
              </w:rPr>
              <w:t xml:space="preserve">необходимых</w:t>
            </w:r>
            <w:r>
              <w:rPr>
                <w:i/>
              </w:rPr>
              <w:t xml:space="preserve"> НД: технические условия, паспорт безопасности, инструкция по применению, текст этикетки и т.п. (перечислить необходимые).</w:t>
            </w:r>
            <w:r/>
          </w:p>
          <w:p>
            <w:pPr>
              <w:pStyle w:val="685"/>
              <w:rPr>
                <w:i/>
              </w:rPr>
            </w:pPr>
            <w:r>
              <w:rPr>
                <w:i/>
              </w:rPr>
              <w:t xml:space="preserve">Требуется ли получать СГР с использованием услуг ООО «</w:t>
            </w:r>
            <w:r>
              <w:rPr>
                <w:i/>
              </w:rPr>
              <w:t xml:space="preserve">Неохим</w:t>
            </w:r>
            <w:r>
              <w:rPr>
                <w:i/>
              </w:rPr>
              <w:t xml:space="preserve">»?</w:t>
            </w:r>
            <w:r/>
          </w:p>
          <w:p>
            <w:pPr>
              <w:pStyle w:val="685"/>
              <w:rPr>
                <w:i/>
              </w:rPr>
            </w:pPr>
            <w:r>
              <w:rPr>
                <w:b/>
                <w:i/>
              </w:rPr>
              <w:t xml:space="preserve">Предоставьте сроки и цену на СГР</w:t>
            </w:r>
            <w:r>
              <w:rPr>
                <w:i/>
              </w:rPr>
              <w:t xml:space="preserve">.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  <w:bCs/>
              </w:rPr>
            </w:pPr>
            <w:r>
              <w:rPr>
                <w:b/>
                <w:bCs/>
              </w:rPr>
              <w:t xml:space="preserve">Фасовка (виды тары)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rPr>
                <w:i/>
                <w:shd w:val="clear" w:color="auto" w:fill="ffff00"/>
              </w:rPr>
            </w:pPr>
            <w:r>
              <w:rPr>
                <w:i/>
              </w:rPr>
              <w:t xml:space="preserve">Указать тару, в которую предполагается фасовка</w:t>
            </w:r>
            <w:r>
              <w:rPr>
                <w:i/>
              </w:rPr>
              <w:t xml:space="preserve">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Канистра 10л.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</w:rPr>
            </w:pPr>
            <w:r>
              <w:rPr>
                <w:b/>
              </w:rPr>
              <w:t xml:space="preserve">Запрашиваемая входная цена для клиента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rPr>
                <w:i/>
              </w:rPr>
            </w:pPr>
            <w:r>
              <w:rPr>
                <w:i/>
              </w:rPr>
              <w:t xml:space="preserve">Обязательно указать требуемую цену (необходимо понимать, что </w:t>
            </w:r>
            <w:r>
              <w:rPr>
                <w:i/>
              </w:rPr>
              <w:t xml:space="preserve">при разработке</w:t>
            </w:r>
            <w:r>
              <w:rPr>
                <w:i/>
              </w:rPr>
              <w:t xml:space="preserve"> эко продукта цена может быть высокой из-за стоимости компонентов, обеспечивающих необходимые свойства</w:t>
            </w:r>
            <w:r>
              <w:rPr>
                <w:i/>
              </w:rPr>
              <w:t xml:space="preserve">)</w:t>
            </w:r>
            <w:r>
              <w:rPr>
                <w:i/>
              </w:rPr>
              <w:t xml:space="preserve">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Не дороже 500,00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руб</w:t>
            </w:r>
            <w:r>
              <w:rPr>
                <w:b/>
                <w:i/>
              </w:rPr>
              <w:t xml:space="preserve">/канистра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</w:rPr>
            </w:pPr>
            <w:r>
              <w:rPr>
                <w:b/>
              </w:rPr>
              <w:t xml:space="preserve">Необходимый срок разработки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rPr>
                <w:i/>
              </w:rPr>
            </w:pPr>
            <w:r>
              <w:rPr>
                <w:i/>
              </w:rPr>
              <w:t xml:space="preserve">Будет оговариваться после заполнения ТЗ</w:t>
            </w:r>
            <w:r>
              <w:rPr>
                <w:i/>
              </w:rPr>
              <w:t xml:space="preserve">.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</w:rPr>
            </w:pPr>
            <w:r>
              <w:rPr>
                <w:b/>
              </w:rPr>
              <w:t xml:space="preserve">Планируемые объемы производства, т/год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rPr>
                <w:i/>
                <w:shd w:val="clear" w:color="auto" w:fill="ffff00"/>
              </w:rPr>
            </w:pPr>
            <w:r>
              <w:rPr>
                <w:i/>
              </w:rPr>
              <w:t xml:space="preserve">Обязательно указать предполагаемый годовой объем, т</w:t>
            </w:r>
            <w:r>
              <w:rPr>
                <w:i/>
              </w:rPr>
              <w:t xml:space="preserve">.к. от этого будет зависеть сырьевая себестоимость</w:t>
            </w:r>
            <w:r>
              <w:rPr>
                <w:i/>
              </w:rPr>
              <w:t xml:space="preserve"> продукта</w:t>
            </w:r>
            <w:r>
              <w:rPr>
                <w:i/>
              </w:rPr>
              <w:t xml:space="preserve">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200 т/год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</w:rPr>
            </w:pPr>
            <w:r>
              <w:rPr>
                <w:b/>
              </w:rPr>
              <w:t xml:space="preserve">Необходимость разработки технологии производства продукта (написание технологической инструкции</w:t>
            </w:r>
            <w:bookmarkStart w:id="0" w:name="_GoBack"/>
            <w:r/>
            <w:bookmarkEnd w:id="0"/>
            <w:r>
              <w:rPr>
                <w:b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rPr>
                <w:i/>
              </w:rPr>
            </w:pPr>
            <w:r>
              <w:rPr>
                <w:i/>
              </w:rPr>
              <w:t xml:space="preserve">нет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1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Align w:val="center"/>
            <w:textDirection w:val="lrTb"/>
            <w:noWrap w:val="false"/>
          </w:tcPr>
          <w:p>
            <w:pPr>
              <w:pStyle w:val="685"/>
              <w:rPr>
                <w:b/>
              </w:rPr>
            </w:pPr>
            <w:r>
              <w:rPr>
                <w:b/>
              </w:rPr>
              <w:t xml:space="preserve">Необходимость в подборе оборудования для производства продукта</w:t>
            </w:r>
            <w:r/>
          </w:p>
        </w:tc>
        <w:tc>
          <w:tcPr>
            <w:shd w:val="clear" w:color="auto" w:fill="ffffff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9" w:type="dxa"/>
            <w:vAlign w:val="center"/>
            <w:textDirection w:val="lrTb"/>
            <w:noWrap w:val="false"/>
          </w:tcPr>
          <w:p>
            <w:pPr>
              <w:pStyle w:val="685"/>
              <w:rPr>
                <w:i/>
              </w:rPr>
            </w:pPr>
            <w:r>
              <w:rPr>
                <w:i/>
              </w:rPr>
              <w:t xml:space="preserve">нет</w:t>
            </w:r>
            <w:r/>
          </w:p>
        </w:tc>
      </w:tr>
    </w:tbl>
    <w:p>
      <w:pPr>
        <w:pStyle w:val="685"/>
      </w:pPr>
      <w:r/>
      <w:r/>
    </w:p>
    <w:p>
      <w:pPr>
        <w:pStyle w:val="685"/>
      </w:pPr>
      <w:r/>
      <w:r/>
    </w:p>
    <w:p>
      <w:pPr>
        <w:pStyle w:val="685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766" w:right="748" w:bottom="510" w:left="1701" w:header="709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italicmt">
    <w:panose1 w:val="02020603050405020304"/>
  </w:font>
  <w:font w:name="OpenSymbol">
    <w:panose1 w:val="05010000000000000000"/>
  </w:font>
  <w:font w:name="Verdana">
    <w:panose1 w:val="020B0604030504040204"/>
  </w:font>
  <w:font w:name="Tahoma">
    <w:panose1 w:val="020B0604030504040204"/>
  </w:font>
  <w:font w:name="Microsoft YaHei">
    <w:panose1 w:val="020B05030202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rPr>
          <w:color w:val="000000"/>
        </w:rP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ind w:left="-1701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710"/>
    <w:lvl w:ilvl="0">
      <w:start w:val="1"/>
      <w:numFmt w:val="decimal"/>
      <w:pStyle w:val="710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1.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1.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1.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480" w:hanging="180"/>
      </w:pPr>
    </w:lvl>
  </w:abstractNum>
  <w:abstractNum w:abstractNumId="1">
    <w:multiLevelType w:val="hybridMultilevel"/>
    <w:styleLink w:val="723"/>
    <w:lvl w:ilvl="0">
      <w:start w:val="1"/>
      <w:numFmt w:val="bullet"/>
      <w:pStyle w:val="723"/>
      <w:isLgl w:val="false"/>
      <w:suff w:val="tab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sz w:val="20"/>
      </w:rPr>
    </w:lvl>
  </w:abstractNum>
  <w:abstractNum w:abstractNumId="2">
    <w:multiLevelType w:val="hybridMultilevel"/>
    <w:styleLink w:val="712"/>
    <w:lvl w:ilvl="0">
      <w:start w:val="1"/>
      <w:numFmt w:val="decimal"/>
      <w:pStyle w:val="712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1.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1.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1.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480" w:hanging="180"/>
      </w:pPr>
    </w:lvl>
  </w:abstractNum>
  <w:abstractNum w:abstractNumId="3">
    <w:multiLevelType w:val="hybridMultilevel"/>
    <w:styleLink w:val="713"/>
    <w:lvl w:ilvl="0">
      <w:start w:val="1"/>
      <w:numFmt w:val="decimal"/>
      <w:pStyle w:val="713"/>
      <w:isLgl w:val="false"/>
      <w:suff w:val="tab"/>
      <w:lvlText w:val="%1."/>
      <w:lvlJc w:val="left"/>
      <w:pPr>
        <w:ind w:left="8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9" w:hanging="360"/>
      </w:pPr>
    </w:lvl>
    <w:lvl w:ilvl="2">
      <w:start w:val="1"/>
      <w:numFmt w:val="lowerRoman"/>
      <w:isLgl w:val="false"/>
      <w:suff w:val="tab"/>
      <w:lvlText w:val="%1.%2.%3."/>
      <w:lvlJc w:val="right"/>
      <w:pPr>
        <w:ind w:left="2289" w:hanging="18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009" w:hanging="360"/>
      </w:pPr>
    </w:lvl>
    <w:lvl w:ilvl="4">
      <w:start w:val="1"/>
      <w:numFmt w:val="lowerLetter"/>
      <w:isLgl w:val="false"/>
      <w:suff w:val="tab"/>
      <w:lvlText w:val="%1.%2.%3.%4.%5."/>
      <w:lvlJc w:val="left"/>
      <w:pPr>
        <w:ind w:left="3729" w:hanging="360"/>
      </w:pPr>
    </w:lvl>
    <w:lvl w:ilvl="5">
      <w:start w:val="1"/>
      <w:numFmt w:val="lowerRoman"/>
      <w:isLgl w:val="false"/>
      <w:suff w:val="tab"/>
      <w:lvlText w:val="%1.%2.%3.%4.%5.%6."/>
      <w:lvlJc w:val="right"/>
      <w:pPr>
        <w:ind w:left="4449" w:hanging="1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169" w:hanging="360"/>
      </w:p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5889" w:hanging="360"/>
      </w:p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60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styleLink w:val="715"/>
    <w:lvl w:ilvl="0">
      <w:start w:val="1"/>
      <w:numFmt w:val="decimal"/>
      <w:pStyle w:val="715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1.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1.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1.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480" w:hanging="180"/>
      </w:pPr>
    </w:lvl>
  </w:abstractNum>
  <w:abstractNum w:abstractNumId="6">
    <w:multiLevelType w:val="hybridMultilevel"/>
    <w:styleLink w:val="724"/>
    <w:lvl w:ilvl="0">
      <w:start w:val="1"/>
      <w:numFmt w:val="decimal"/>
      <w:pStyle w:val="724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7">
    <w:multiLevelType w:val="hybridMultilevel"/>
    <w:styleLink w:val="719"/>
    <w:lvl w:ilvl="0">
      <w:start w:val="1"/>
      <w:numFmt w:val="bullet"/>
      <w:pStyle w:val="719"/>
      <w:isLgl w:val="false"/>
      <w:suff w:val="tab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sz w:val="20"/>
      </w:rPr>
    </w:lvl>
  </w:abstractNum>
  <w:abstractNum w:abstractNumId="8">
    <w:multiLevelType w:val="hybridMultilevel"/>
    <w:styleLink w:val="714"/>
    <w:lvl w:ilvl="0">
      <w:start w:val="1"/>
      <w:numFmt w:val="decimal"/>
      <w:pStyle w:val="714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1.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1.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1.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480" w:hanging="180"/>
      </w:pPr>
    </w:lvl>
  </w:abstractNum>
  <w:abstractNum w:abstractNumId="9">
    <w:multiLevelType w:val="hybridMultilevel"/>
    <w:styleLink w:val="721"/>
    <w:lvl w:ilvl="0">
      <w:start w:val="1"/>
      <w:numFmt w:val="bullet"/>
      <w:pStyle w:val="721"/>
      <w:isLgl w:val="false"/>
      <w:suff w:val="tab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sz w:val="20"/>
      </w:rPr>
    </w:lvl>
  </w:abstractNum>
  <w:abstractNum w:abstractNumId="10">
    <w:multiLevelType w:val="hybridMultilevel"/>
    <w:styleLink w:val="718"/>
    <w:lvl w:ilvl="0">
      <w:start w:val="1"/>
      <w:numFmt w:val="decimal"/>
      <w:pStyle w:val="718"/>
      <w:isLgl w:val="false"/>
      <w:suff w:val="tab"/>
      <w:lvlText w:val="%1."/>
      <w:lvlJc w:val="left"/>
      <w:pPr>
        <w:ind w:left="10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31" w:hanging="360"/>
      </w:pPr>
    </w:lvl>
    <w:lvl w:ilvl="2">
      <w:start w:val="1"/>
      <w:numFmt w:val="lowerRoman"/>
      <w:isLgl w:val="false"/>
      <w:suff w:val="tab"/>
      <w:lvlText w:val="%1.%2.%3."/>
      <w:lvlJc w:val="right"/>
      <w:pPr>
        <w:ind w:left="2451" w:hanging="18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71" w:hanging="360"/>
      </w:pPr>
    </w:lvl>
    <w:lvl w:ilvl="4">
      <w:start w:val="1"/>
      <w:numFmt w:val="lowerLetter"/>
      <w:isLgl w:val="false"/>
      <w:suff w:val="tab"/>
      <w:lvlText w:val="%1.%2.%3.%4.%5."/>
      <w:lvlJc w:val="left"/>
      <w:pPr>
        <w:ind w:left="3891" w:hanging="360"/>
      </w:pPr>
    </w:lvl>
    <w:lvl w:ilvl="5">
      <w:start w:val="1"/>
      <w:numFmt w:val="lowerRoman"/>
      <w:isLgl w:val="false"/>
      <w:suff w:val="tab"/>
      <w:lvlText w:val="%1.%2.%3.%4.%5.%6."/>
      <w:lvlJc w:val="right"/>
      <w:pPr>
        <w:ind w:left="4611" w:hanging="1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331" w:hanging="360"/>
      </w:p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6051" w:hanging="360"/>
      </w:p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771" w:hanging="180"/>
      </w:pPr>
    </w:lvl>
  </w:abstractNum>
  <w:abstractNum w:abstractNumId="11">
    <w:multiLevelType w:val="hybridMultilevel"/>
    <w:styleLink w:val="725"/>
    <w:lvl w:ilvl="0">
      <w:start w:val="1"/>
      <w:numFmt w:val="decimal"/>
      <w:pStyle w:val="725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styleLink w:val="717"/>
    <w:lvl w:ilvl="0">
      <w:start w:val="1"/>
      <w:numFmt w:val="decimal"/>
      <w:pStyle w:val="717"/>
      <w:isLgl w:val="false"/>
      <w:suff w:val="tab"/>
      <w:lvlText w:val="%1."/>
      <w:lvlJc w:val="left"/>
      <w:pPr>
        <w:ind w:left="10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31" w:hanging="360"/>
      </w:pPr>
    </w:lvl>
    <w:lvl w:ilvl="2">
      <w:start w:val="1"/>
      <w:numFmt w:val="lowerRoman"/>
      <w:isLgl w:val="false"/>
      <w:suff w:val="tab"/>
      <w:lvlText w:val="%1.%2.%3."/>
      <w:lvlJc w:val="right"/>
      <w:pPr>
        <w:ind w:left="2451" w:hanging="18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71" w:hanging="360"/>
      </w:pPr>
    </w:lvl>
    <w:lvl w:ilvl="4">
      <w:start w:val="1"/>
      <w:numFmt w:val="lowerLetter"/>
      <w:isLgl w:val="false"/>
      <w:suff w:val="tab"/>
      <w:lvlText w:val="%1.%2.%3.%4.%5."/>
      <w:lvlJc w:val="left"/>
      <w:pPr>
        <w:ind w:left="3891" w:hanging="360"/>
      </w:pPr>
    </w:lvl>
    <w:lvl w:ilvl="5">
      <w:start w:val="1"/>
      <w:numFmt w:val="lowerRoman"/>
      <w:isLgl w:val="false"/>
      <w:suff w:val="tab"/>
      <w:lvlText w:val="%1.%2.%3.%4.%5.%6."/>
      <w:lvlJc w:val="right"/>
      <w:pPr>
        <w:ind w:left="4611" w:hanging="1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331" w:hanging="360"/>
      </w:p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6051" w:hanging="360"/>
      </w:p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771" w:hanging="180"/>
      </w:pPr>
    </w:lvl>
  </w:abstractNum>
  <w:abstractNum w:abstractNumId="13">
    <w:multiLevelType w:val="hybridMultilevel"/>
    <w:styleLink w:val="720"/>
    <w:lvl w:ilvl="0">
      <w:start w:val="1"/>
      <w:numFmt w:val="bullet"/>
      <w:pStyle w:val="720"/>
      <w:isLgl w:val="false"/>
      <w:suff w:val="tab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sz w:val="20"/>
      </w:rPr>
    </w:lvl>
  </w:abstractNum>
  <w:abstractNum w:abstractNumId="14">
    <w:multiLevelType w:val="hybridMultilevel"/>
    <w:styleLink w:val="711"/>
    <w:lvl w:ilvl="0">
      <w:start w:val="1"/>
      <w:numFmt w:val="decimal"/>
      <w:pStyle w:val="711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1.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1.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1.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480" w:hanging="180"/>
      </w:pPr>
    </w:lvl>
  </w:abstractNum>
  <w:abstractNum w:abstractNumId="15">
    <w:multiLevelType w:val="hybridMultilevel"/>
    <w:styleLink w:val="716"/>
    <w:lvl w:ilvl="0">
      <w:start w:val="1"/>
      <w:numFmt w:val="decimal"/>
      <w:pStyle w:val="716"/>
      <w:isLgl w:val="false"/>
      <w:suff w:val="tab"/>
      <w:lvlText w:val="%1."/>
      <w:lvlJc w:val="left"/>
      <w:pPr>
        <w:ind w:left="10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31" w:hanging="360"/>
      </w:pPr>
    </w:lvl>
    <w:lvl w:ilvl="2">
      <w:start w:val="1"/>
      <w:numFmt w:val="lowerRoman"/>
      <w:isLgl w:val="false"/>
      <w:suff w:val="tab"/>
      <w:lvlText w:val="%1.%2.%3."/>
      <w:lvlJc w:val="right"/>
      <w:pPr>
        <w:ind w:left="2451" w:hanging="18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71" w:hanging="360"/>
      </w:pPr>
    </w:lvl>
    <w:lvl w:ilvl="4">
      <w:start w:val="1"/>
      <w:numFmt w:val="lowerLetter"/>
      <w:isLgl w:val="false"/>
      <w:suff w:val="tab"/>
      <w:lvlText w:val="%1.%2.%3.%4.%5."/>
      <w:lvlJc w:val="left"/>
      <w:pPr>
        <w:ind w:left="3891" w:hanging="360"/>
      </w:pPr>
    </w:lvl>
    <w:lvl w:ilvl="5">
      <w:start w:val="1"/>
      <w:numFmt w:val="lowerRoman"/>
      <w:isLgl w:val="false"/>
      <w:suff w:val="tab"/>
      <w:lvlText w:val="%1.%2.%3.%4.%5.%6."/>
      <w:lvlJc w:val="right"/>
      <w:pPr>
        <w:ind w:left="4611" w:hanging="1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331" w:hanging="360"/>
      </w:p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6051" w:hanging="360"/>
      </w:p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771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–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–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–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–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–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17">
    <w:multiLevelType w:val="hybridMultilevel"/>
    <w:styleLink w:val="722"/>
    <w:lvl w:ilvl="0">
      <w:start w:val="1"/>
      <w:numFmt w:val="decimal"/>
      <w:pStyle w:val="722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1.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1.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1.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1.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17"/>
  </w:num>
  <w:num w:numId="14">
    <w:abstractNumId w:val="1"/>
  </w:num>
  <w:num w:numId="15">
    <w:abstractNumId w:val="6"/>
  </w:num>
  <w:num w:numId="16">
    <w:abstractNumId w:val="1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2"/>
    <w:link w:val="68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0"/>
    <w:next w:val="68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0"/>
    <w:next w:val="68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0"/>
    <w:next w:val="68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0"/>
    <w:next w:val="68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0"/>
    <w:next w:val="68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0"/>
    <w:next w:val="68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0"/>
    <w:next w:val="68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0"/>
    <w:next w:val="68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80"/>
    <w:next w:val="68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2"/>
    <w:link w:val="32"/>
    <w:uiPriority w:val="10"/>
    <w:rPr>
      <w:sz w:val="48"/>
      <w:szCs w:val="48"/>
    </w:rPr>
  </w:style>
  <w:style w:type="paragraph" w:styleId="34">
    <w:name w:val="Subtitle"/>
    <w:basedOn w:val="680"/>
    <w:next w:val="68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2"/>
    <w:link w:val="34"/>
    <w:uiPriority w:val="11"/>
    <w:rPr>
      <w:sz w:val="24"/>
      <w:szCs w:val="24"/>
    </w:rPr>
  </w:style>
  <w:style w:type="paragraph" w:styleId="36">
    <w:name w:val="Quote"/>
    <w:basedOn w:val="680"/>
    <w:next w:val="68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0"/>
    <w:next w:val="68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2"/>
    <w:link w:val="694"/>
    <w:uiPriority w:val="99"/>
  </w:style>
  <w:style w:type="character" w:styleId="43">
    <w:name w:val="Footer Char"/>
    <w:basedOn w:val="682"/>
    <w:link w:val="695"/>
    <w:uiPriority w:val="99"/>
  </w:style>
  <w:style w:type="character" w:styleId="45">
    <w:name w:val="Caption Char"/>
    <w:basedOn w:val="689"/>
    <w:link w:val="695"/>
    <w:uiPriority w:val="99"/>
  </w:style>
  <w:style w:type="table" w:styleId="46">
    <w:name w:val="Table Grid"/>
    <w:basedOn w:val="68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2"/>
    <w:uiPriority w:val="99"/>
    <w:unhideWhenUsed/>
    <w:rPr>
      <w:vertAlign w:val="superscript"/>
    </w:rPr>
  </w:style>
  <w:style w:type="paragraph" w:styleId="176">
    <w:name w:val="endnote text"/>
    <w:basedOn w:val="68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2"/>
    <w:uiPriority w:val="99"/>
    <w:semiHidden/>
    <w:unhideWhenUsed/>
    <w:rPr>
      <w:vertAlign w:val="superscript"/>
    </w:rPr>
  </w:style>
  <w:style w:type="paragraph" w:styleId="179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</w:style>
  <w:style w:type="paragraph" w:styleId="681">
    <w:name w:val="Heading 1"/>
    <w:basedOn w:val="685"/>
    <w:next w:val="687"/>
    <w:pPr>
      <w:spacing w:before="100" w:after="100"/>
      <w:outlineLvl w:val="0"/>
    </w:pPr>
    <w:rPr>
      <w:b/>
      <w:bCs/>
      <w:sz w:val="48"/>
      <w:szCs w:val="48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 w:customStyle="1">
    <w:name w:val="Standard"/>
    <w:pPr>
      <w:widowControl/>
    </w:pPr>
    <w:rPr>
      <w:sz w:val="24"/>
      <w:szCs w:val="24"/>
    </w:rPr>
  </w:style>
  <w:style w:type="paragraph" w:styleId="686" w:customStyle="1">
    <w:name w:val="Heading"/>
    <w:basedOn w:val="685"/>
    <w:next w:val="687"/>
    <w:pPr>
      <w:keepNext/>
      <w:spacing w:before="240" w:after="120"/>
    </w:pPr>
    <w:rPr>
      <w:rFonts w:ascii="Arial" w:hAnsi="Arial" w:cs="Arial" w:eastAsia="Microsoft YaHei"/>
      <w:sz w:val="28"/>
      <w:szCs w:val="28"/>
    </w:rPr>
  </w:style>
  <w:style w:type="paragraph" w:styleId="687" w:customStyle="1">
    <w:name w:val="Text body"/>
    <w:basedOn w:val="685"/>
    <w:pPr>
      <w:spacing w:after="120"/>
    </w:pPr>
  </w:style>
  <w:style w:type="paragraph" w:styleId="688">
    <w:name w:val="List"/>
    <w:basedOn w:val="687"/>
    <w:rPr>
      <w:rFonts w:cs="Arial"/>
    </w:rPr>
  </w:style>
  <w:style w:type="paragraph" w:styleId="689">
    <w:name w:val="Caption"/>
    <w:basedOn w:val="685"/>
    <w:pPr>
      <w:spacing w:before="120" w:after="120"/>
      <w:suppressLineNumbers/>
    </w:pPr>
    <w:rPr>
      <w:rFonts w:cs="Arial"/>
      <w:i/>
      <w:iCs/>
    </w:rPr>
  </w:style>
  <w:style w:type="paragraph" w:styleId="690" w:customStyle="1">
    <w:name w:val="Index"/>
    <w:basedOn w:val="685"/>
    <w:pPr>
      <w:suppressLineNumbers/>
    </w:pPr>
    <w:rPr>
      <w:rFonts w:cs="Arial"/>
    </w:rPr>
  </w:style>
  <w:style w:type="paragraph" w:styleId="691">
    <w:name w:val="Balloon Text"/>
    <w:basedOn w:val="685"/>
    <w:rPr>
      <w:rFonts w:ascii="Tahoma" w:hAnsi="Tahoma" w:cs="Tahoma"/>
      <w:sz w:val="16"/>
      <w:szCs w:val="16"/>
    </w:rPr>
  </w:style>
  <w:style w:type="paragraph" w:styleId="692">
    <w:name w:val="Normal (Web)"/>
    <w:basedOn w:val="685"/>
    <w:uiPriority w:val="99"/>
    <w:pPr>
      <w:spacing w:before="100" w:after="100"/>
    </w:pPr>
  </w:style>
  <w:style w:type="paragraph" w:styleId="693" w:customStyle="1">
    <w:name w:val="spoiler-text"/>
    <w:basedOn w:val="685"/>
    <w:pPr>
      <w:spacing w:before="100" w:after="100"/>
    </w:pPr>
  </w:style>
  <w:style w:type="paragraph" w:styleId="694">
    <w:name w:val="Header"/>
    <w:basedOn w:val="685"/>
    <w:pPr>
      <w:tabs>
        <w:tab w:val="center" w:pos="4677" w:leader="none"/>
        <w:tab w:val="right" w:pos="9355" w:leader="none"/>
      </w:tabs>
      <w:suppressLineNumbers/>
    </w:pPr>
  </w:style>
  <w:style w:type="paragraph" w:styleId="695">
    <w:name w:val="Footer"/>
    <w:basedOn w:val="685"/>
    <w:pPr>
      <w:tabs>
        <w:tab w:val="center" w:pos="4677" w:leader="none"/>
        <w:tab w:val="right" w:pos="9355" w:leader="none"/>
      </w:tabs>
      <w:suppressLineNumbers/>
    </w:pPr>
  </w:style>
  <w:style w:type="paragraph" w:styleId="696" w:customStyle="1">
    <w:name w:val="s1"/>
    <w:basedOn w:val="685"/>
    <w:pPr>
      <w:spacing w:before="100" w:after="100"/>
    </w:pPr>
  </w:style>
  <w:style w:type="paragraph" w:styleId="697" w:customStyle="1">
    <w:name w:val="1"/>
    <w:basedOn w:val="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698">
    <w:name w:val="No Spacing"/>
    <w:pPr>
      <w:widowControl/>
    </w:pPr>
    <w:rPr>
      <w:sz w:val="24"/>
      <w:szCs w:val="24"/>
    </w:rPr>
  </w:style>
  <w:style w:type="paragraph" w:styleId="699">
    <w:name w:val="List Paragraph"/>
    <w:basedOn w:val="685"/>
    <w:pPr>
      <w:ind w:left="720"/>
    </w:pPr>
  </w:style>
  <w:style w:type="paragraph" w:styleId="700" w:customStyle="1">
    <w:name w:val="Default"/>
    <w:pPr>
      <w:widowControl/>
    </w:pPr>
    <w:rPr>
      <w:color w:val="000000"/>
      <w:sz w:val="24"/>
      <w:szCs w:val="24"/>
    </w:rPr>
  </w:style>
  <w:style w:type="paragraph" w:styleId="701" w:customStyle="1">
    <w:name w:val="Table Contents"/>
    <w:basedOn w:val="685"/>
    <w:pPr>
      <w:suppressLineNumbers/>
    </w:pPr>
  </w:style>
  <w:style w:type="character" w:styleId="702" w:customStyle="1">
    <w:name w:val="Текст выноски Знак"/>
    <w:rPr>
      <w:rFonts w:ascii="Tahoma" w:hAnsi="Tahoma" w:cs="Tahoma"/>
      <w:sz w:val="16"/>
      <w:szCs w:val="16"/>
    </w:rPr>
  </w:style>
  <w:style w:type="character" w:styleId="703">
    <w:name w:val="Emphasis"/>
    <w:rPr>
      <w:i/>
      <w:iCs/>
    </w:rPr>
  </w:style>
  <w:style w:type="character" w:styleId="704" w:customStyle="1">
    <w:name w:val="Internet link"/>
    <w:rPr>
      <w:color w:val="0000FF"/>
      <w:u w:val="single"/>
    </w:rPr>
  </w:style>
  <w:style w:type="character" w:styleId="705" w:customStyle="1">
    <w:name w:val="Верхний колонтитул Знак"/>
    <w:rPr>
      <w:sz w:val="24"/>
      <w:szCs w:val="24"/>
    </w:rPr>
  </w:style>
  <w:style w:type="character" w:styleId="706" w:customStyle="1">
    <w:name w:val="Заголовок 1 Знак"/>
    <w:basedOn w:val="682"/>
    <w:rPr>
      <w:b/>
      <w:bCs/>
      <w:sz w:val="48"/>
      <w:szCs w:val="48"/>
    </w:rPr>
  </w:style>
  <w:style w:type="character" w:styleId="707" w:customStyle="1">
    <w:name w:val="ListLabel 1"/>
    <w:rPr>
      <w:b w:val="0"/>
    </w:rPr>
  </w:style>
  <w:style w:type="character" w:styleId="708" w:customStyle="1">
    <w:name w:val="ListLabel 2"/>
    <w:rPr>
      <w:sz w:val="20"/>
    </w:rPr>
  </w:style>
  <w:style w:type="character" w:styleId="709" w:customStyle="1">
    <w:name w:val="Bullet Symbols"/>
    <w:rPr>
      <w:rFonts w:ascii="OpenSymbol" w:hAnsi="OpenSymbol" w:cs="OpenSymbol" w:eastAsia="OpenSymbol"/>
    </w:rPr>
  </w:style>
  <w:style w:type="numbering" w:styleId="710" w:customStyle="1">
    <w:name w:val="WWNum1"/>
    <w:basedOn w:val="684"/>
    <w:pPr>
      <w:numPr>
        <w:numId w:val="1"/>
      </w:numPr>
    </w:pPr>
  </w:style>
  <w:style w:type="numbering" w:styleId="711" w:customStyle="1">
    <w:name w:val="WWNum2"/>
    <w:basedOn w:val="684"/>
    <w:pPr>
      <w:numPr>
        <w:numId w:val="2"/>
      </w:numPr>
    </w:pPr>
  </w:style>
  <w:style w:type="numbering" w:styleId="712" w:customStyle="1">
    <w:name w:val="WWNum3"/>
    <w:basedOn w:val="684"/>
    <w:pPr>
      <w:numPr>
        <w:numId w:val="3"/>
      </w:numPr>
    </w:pPr>
  </w:style>
  <w:style w:type="numbering" w:styleId="713" w:customStyle="1">
    <w:name w:val="WWNum4"/>
    <w:basedOn w:val="684"/>
    <w:pPr>
      <w:numPr>
        <w:numId w:val="4"/>
      </w:numPr>
    </w:pPr>
  </w:style>
  <w:style w:type="numbering" w:styleId="714" w:customStyle="1">
    <w:name w:val="WWNum5"/>
    <w:basedOn w:val="684"/>
    <w:pPr>
      <w:numPr>
        <w:numId w:val="5"/>
      </w:numPr>
    </w:pPr>
  </w:style>
  <w:style w:type="numbering" w:styleId="715" w:customStyle="1">
    <w:name w:val="WWNum6"/>
    <w:basedOn w:val="684"/>
    <w:pPr>
      <w:numPr>
        <w:numId w:val="6"/>
      </w:numPr>
    </w:pPr>
  </w:style>
  <w:style w:type="numbering" w:styleId="716" w:customStyle="1">
    <w:name w:val="WWNum7"/>
    <w:basedOn w:val="684"/>
    <w:pPr>
      <w:numPr>
        <w:numId w:val="7"/>
      </w:numPr>
    </w:pPr>
  </w:style>
  <w:style w:type="numbering" w:styleId="717" w:customStyle="1">
    <w:name w:val="WWNum8"/>
    <w:basedOn w:val="684"/>
    <w:pPr>
      <w:numPr>
        <w:numId w:val="8"/>
      </w:numPr>
    </w:pPr>
  </w:style>
  <w:style w:type="numbering" w:styleId="718" w:customStyle="1">
    <w:name w:val="WWNum9"/>
    <w:basedOn w:val="684"/>
    <w:pPr>
      <w:numPr>
        <w:numId w:val="9"/>
      </w:numPr>
    </w:pPr>
  </w:style>
  <w:style w:type="numbering" w:styleId="719" w:customStyle="1">
    <w:name w:val="WWNum10"/>
    <w:basedOn w:val="684"/>
    <w:pPr>
      <w:numPr>
        <w:numId w:val="10"/>
      </w:numPr>
    </w:pPr>
  </w:style>
  <w:style w:type="numbering" w:styleId="720" w:customStyle="1">
    <w:name w:val="WWNum11"/>
    <w:basedOn w:val="684"/>
    <w:pPr>
      <w:numPr>
        <w:numId w:val="11"/>
      </w:numPr>
    </w:pPr>
  </w:style>
  <w:style w:type="numbering" w:styleId="721" w:customStyle="1">
    <w:name w:val="WWNum12"/>
    <w:basedOn w:val="684"/>
    <w:pPr>
      <w:numPr>
        <w:numId w:val="12"/>
      </w:numPr>
    </w:pPr>
  </w:style>
  <w:style w:type="numbering" w:styleId="722" w:customStyle="1">
    <w:name w:val="WWNum13"/>
    <w:basedOn w:val="684"/>
    <w:pPr>
      <w:numPr>
        <w:numId w:val="13"/>
      </w:numPr>
    </w:pPr>
  </w:style>
  <w:style w:type="numbering" w:styleId="723" w:customStyle="1">
    <w:name w:val="WWNum14"/>
    <w:basedOn w:val="684"/>
    <w:pPr>
      <w:numPr>
        <w:numId w:val="14"/>
      </w:numPr>
    </w:pPr>
  </w:style>
  <w:style w:type="numbering" w:styleId="724" w:customStyle="1">
    <w:name w:val="WWNum15"/>
    <w:basedOn w:val="684"/>
    <w:pPr>
      <w:numPr>
        <w:numId w:val="15"/>
      </w:numPr>
    </w:pPr>
  </w:style>
  <w:style w:type="numbering" w:styleId="725" w:customStyle="1">
    <w:name w:val="WWNum16"/>
    <w:basedOn w:val="684"/>
    <w:pPr>
      <w:numPr>
        <w:numId w:val="16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УТВЕРДИЛ:</dc:title>
  <dc:creator>Valiullina-NN</dc:creator>
  <cp:lastModifiedBy>Александр Тимаков</cp:lastModifiedBy>
  <cp:revision>3</cp:revision>
  <dcterms:created xsi:type="dcterms:W3CDTF">2022-06-08T11:51:00Z</dcterms:created>
  <dcterms:modified xsi:type="dcterms:W3CDTF">2023-04-24T08:33:13Z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neohim</vt:lpwstr>
  </property>
  <property fmtid="{D5CDD505-2E9C-101B-9397-08002B2CF9AE}" pid="4" name="DocSecurity">
    <vt:r8>0.000000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